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C68DD">
      <w:pPr>
        <w:pStyle w:val="Title"/>
      </w:pPr>
      <w:bookmarkStart w:id="0" w:name="_GoBack"/>
      <w:bookmarkEnd w:id="0"/>
      <w:r>
        <w:rPr>
          <w:noProof/>
        </w:rPr>
        <mc:AlternateContent>
          <mc:Choice Requires="wps">
            <w:drawing>
              <wp:anchor distT="0" distB="0" distL="114300" distR="114300" simplePos="0" relativeHeight="251657728" behindDoc="1" locked="0" layoutInCell="0" allowOverlap="1">
                <wp:simplePos x="0" y="0"/>
                <wp:positionH relativeFrom="column">
                  <wp:posOffset>5029200</wp:posOffset>
                </wp:positionH>
                <wp:positionV relativeFrom="paragraph">
                  <wp:posOffset>-640080</wp:posOffset>
                </wp:positionV>
                <wp:extent cx="1554480" cy="6400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C68DD">
                            <w:pPr>
                              <w:jc w:val="center"/>
                              <w:rPr>
                                <w:sz w:val="19"/>
                              </w:rPr>
                            </w:pPr>
                            <w:r>
                              <w:rPr>
                                <w:sz w:val="19"/>
                              </w:rPr>
                              <w:t>Office of the Secretary</w:t>
                            </w:r>
                          </w:p>
                          <w:p w:rsidR="00000000" w:rsidRDefault="00BC68DD">
                            <w:pPr>
                              <w:jc w:val="center"/>
                              <w:rPr>
                                <w:sz w:val="19"/>
                              </w:rPr>
                            </w:pPr>
                            <w:r>
                              <w:rPr>
                                <w:sz w:val="19"/>
                              </w:rPr>
                              <w:t>Service Date</w:t>
                            </w:r>
                          </w:p>
                          <w:p w:rsidR="00000000" w:rsidRDefault="00BC68DD">
                            <w:pPr>
                              <w:jc w:val="center"/>
                              <w:rPr>
                                <w:sz w:val="19"/>
                              </w:rPr>
                            </w:pPr>
                            <w:r>
                              <w:rPr>
                                <w:sz w:val="19"/>
                              </w:rPr>
                              <w:fldChar w:fldCharType="begin"/>
                            </w:r>
                            <w:r>
                              <w:rPr>
                                <w:sz w:val="19"/>
                              </w:rPr>
                              <w:instrText xml:space="preserve"> FILLIN "Please ente</w:instrText>
                            </w:r>
                            <w:r>
                              <w:rPr>
                                <w:sz w:val="19"/>
                              </w:rPr>
                              <w:instrText xml:space="preserve">r the Service Date." \* MERGEFORMAT </w:instrText>
                            </w:r>
                            <w:r>
                              <w:rPr>
                                <w:sz w:val="19"/>
                              </w:rPr>
                              <w:fldChar w:fldCharType="separate"/>
                            </w:r>
                            <w:r>
                              <w:rPr>
                                <w:sz w:val="19"/>
                              </w:rPr>
                              <w:t>May 6, 1999</w:t>
                            </w:r>
                            <w:r>
                              <w:rPr>
                                <w:sz w:val="19"/>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6pt;margin-top:-50.4pt;width:122.4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" o:allowincell="f" stroked="f">
                <v:textbox>
                  <w:txbxContent>
                    <w:p w:rsidR="00000000" w:rsidRDefault="00BC68DD">
                      <w:pPr>
                        <w:jc w:val="center"/>
                        <w:rPr>
                          <w:sz w:val="19"/>
                        </w:rPr>
                      </w:pPr>
                      <w:r>
                        <w:rPr>
                          <w:sz w:val="19"/>
                        </w:rPr>
                        <w:t>Office of the Secretary</w:t>
                      </w:r>
                    </w:p>
                    <w:p w:rsidR="00000000" w:rsidRDefault="00BC68DD">
                      <w:pPr>
                        <w:jc w:val="center"/>
                        <w:rPr>
                          <w:sz w:val="19"/>
                        </w:rPr>
                      </w:pPr>
                      <w:r>
                        <w:rPr>
                          <w:sz w:val="19"/>
                        </w:rPr>
                        <w:t>Service Date</w:t>
                      </w:r>
                    </w:p>
                    <w:p w:rsidR="00000000" w:rsidRDefault="00BC68DD">
                      <w:pPr>
                        <w:jc w:val="center"/>
                        <w:rPr>
                          <w:sz w:val="19"/>
                        </w:rPr>
                      </w:pPr>
                      <w:r>
                        <w:rPr>
                          <w:sz w:val="19"/>
                        </w:rPr>
                        <w:fldChar w:fldCharType="begin"/>
                      </w:r>
                      <w:r>
                        <w:rPr>
                          <w:sz w:val="19"/>
                        </w:rPr>
                        <w:instrText xml:space="preserve"> FILLIN "Please ente</w:instrText>
                      </w:r>
                      <w:r>
                        <w:rPr>
                          <w:sz w:val="19"/>
                        </w:rPr>
                        <w:instrText xml:space="preserve">r the Service Date." \* MERGEFORMAT </w:instrText>
                      </w:r>
                      <w:r>
                        <w:rPr>
                          <w:sz w:val="19"/>
                        </w:rPr>
                        <w:fldChar w:fldCharType="separate"/>
                      </w:r>
                      <w:r>
                        <w:rPr>
                          <w:sz w:val="19"/>
                        </w:rPr>
                        <w:t>May 6, 1999</w:t>
                      </w:r>
                      <w:r>
                        <w:rPr>
                          <w:sz w:val="19"/>
                        </w:rPr>
                        <w:fldChar w:fldCharType="end"/>
                      </w:r>
                    </w:p>
                  </w:txbxContent>
                </v:textbox>
              </v:shape>
            </w:pict>
          </mc:Fallback>
        </mc:AlternateContent>
      </w:r>
      <w:r>
        <w:t>BEFORE THE IDAHO PUBLIC UTILITIES COMMISSION</w:t>
      </w:r>
    </w:p>
    <w:p w:rsidR="00000000" w:rsidRDefault="00BC68DD">
      <w:pPr>
        <w:tabs>
          <w:tab w:val="left" w:pos="-1152"/>
        </w:tabs>
        <w:spacing w:line="360" w:lineRule="auto"/>
        <w:jc w:val="both"/>
      </w:pPr>
    </w:p>
    <w:tbl>
      <w:tblPr>
        <w:tblW w:w="0" w:type="auto"/>
        <w:tblInd w:w="8" w:type="dxa"/>
        <w:tblLayout w:type="fixed"/>
        <w:tblCellMar>
          <w:left w:w="0" w:type="dxa"/>
          <w:right w:w="0" w:type="dxa"/>
        </w:tblCellMar>
        <w:tblLook w:val="0000" w:firstRow="0" w:lastRow="0" w:firstColumn="0" w:lastColumn="0" w:noHBand="0" w:noVBand="0"/>
      </w:tblPr>
      <w:tblGrid>
        <w:gridCol w:w="5310"/>
        <w:gridCol w:w="360"/>
        <w:gridCol w:w="3600"/>
      </w:tblGrid>
      <w:tr w:rsidR="00000000">
        <w:tblPrEx>
          <w:tblCellMar>
            <w:top w:w="0" w:type="dxa"/>
            <w:left w:w="0" w:type="dxa"/>
            <w:bottom w:w="0" w:type="dxa"/>
            <w:right w:w="0" w:type="dxa"/>
          </w:tblCellMar>
        </w:tblPrEx>
        <w:tc>
          <w:tcPr>
            <w:tcW w:w="5310" w:type="dxa"/>
            <w:tcBorders>
              <w:top w:val="single" w:sz="6" w:space="0" w:color="FFFFFF"/>
              <w:left w:val="single" w:sz="6" w:space="0" w:color="FFFFFF"/>
              <w:bottom w:val="single" w:sz="7" w:space="0" w:color="000000"/>
              <w:right w:val="single" w:sz="6" w:space="0" w:color="FFFFFF"/>
            </w:tcBorders>
          </w:tcPr>
          <w:p w:rsidR="00000000" w:rsidRDefault="00BC68DD">
            <w:pPr>
              <w:tabs>
                <w:tab w:val="left" w:pos="0"/>
                <w:tab w:val="left" w:pos="5040"/>
                <w:tab w:val="left" w:pos="5670"/>
              </w:tabs>
              <w:spacing w:after="19"/>
              <w:jc w:val="both"/>
              <w:rPr>
                <w:b/>
              </w:rPr>
            </w:pPr>
            <w:r>
              <w:rPr>
                <w:b/>
              </w:rPr>
              <w:t>IN THE MATTER OF THE PETITION OF AT&amp;T COMMUNICATIONS OF THE MOUNTAIN STATES, INC. FOR INTRALATA EQUAL ACCESS AND CARRIER PRESUBSCRIPTION IN THE SERVING TERRITORY OF U S WEST COMMUNICATIONS, INC.</w:t>
            </w:r>
          </w:p>
          <w:p w:rsidR="00000000" w:rsidRDefault="00BC68DD">
            <w:pPr>
              <w:tabs>
                <w:tab w:val="left" w:pos="0"/>
                <w:tab w:val="left" w:pos="5040"/>
                <w:tab w:val="left" w:pos="5670"/>
              </w:tabs>
              <w:spacing w:after="19"/>
              <w:jc w:val="both"/>
              <w:rPr>
                <w:b/>
              </w:rPr>
            </w:pPr>
            <w:r>
              <w:rPr>
                <w:b/>
              </w:rPr>
              <w:t xml:space="preserve"> </w:t>
            </w:r>
          </w:p>
        </w:tc>
        <w:tc>
          <w:tcPr>
            <w:tcW w:w="36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spacing w:after="19"/>
              <w:jc w:val="both"/>
              <w:rPr>
                <w:b/>
              </w:rPr>
            </w:pPr>
            <w:r>
              <w:rPr>
                <w:b/>
              </w:rPr>
              <w:t>)</w:t>
            </w:r>
          </w:p>
          <w:p w:rsidR="00000000" w:rsidRDefault="00BC68DD">
            <w:pPr>
              <w:tabs>
                <w:tab w:val="left" w:pos="0"/>
                <w:tab w:val="left" w:pos="5040"/>
                <w:tab w:val="left" w:pos="5670"/>
              </w:tabs>
              <w:spacing w:after="19"/>
              <w:jc w:val="both"/>
              <w:rPr>
                <w:b/>
              </w:rPr>
            </w:pPr>
            <w:r>
              <w:rPr>
                <w:b/>
              </w:rPr>
              <w:t>)</w:t>
            </w:r>
          </w:p>
        </w:tc>
        <w:tc>
          <w:tcPr>
            <w:tcW w:w="360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0"/>
                <w:tab w:val="left" w:pos="5040"/>
                <w:tab w:val="left" w:pos="5670"/>
              </w:tabs>
              <w:spacing w:after="19"/>
              <w:jc w:val="both"/>
              <w:rPr>
                <w:b/>
              </w:rPr>
            </w:pPr>
            <w:r>
              <w:rPr>
                <w:b/>
              </w:rPr>
              <w:t>CASE NO. GNR-T-94-5</w:t>
            </w:r>
          </w:p>
          <w:p w:rsidR="00000000" w:rsidRDefault="00BC68DD">
            <w:pPr>
              <w:tabs>
                <w:tab w:val="left" w:pos="0"/>
                <w:tab w:val="left" w:pos="5040"/>
                <w:tab w:val="left" w:pos="5670"/>
              </w:tabs>
              <w:spacing w:after="19"/>
              <w:jc w:val="both"/>
              <w:rPr>
                <w:b/>
              </w:rPr>
            </w:pPr>
          </w:p>
          <w:p w:rsidR="00000000" w:rsidRDefault="00BC68DD">
            <w:pPr>
              <w:tabs>
                <w:tab w:val="left" w:pos="0"/>
                <w:tab w:val="left" w:pos="5040"/>
                <w:tab w:val="left" w:pos="5670"/>
              </w:tabs>
              <w:spacing w:after="19"/>
              <w:jc w:val="both"/>
              <w:rPr>
                <w:b/>
              </w:rPr>
            </w:pPr>
          </w:p>
        </w:tc>
      </w:tr>
      <w:tr w:rsidR="00000000">
        <w:tblPrEx>
          <w:tblCellMar>
            <w:top w:w="0" w:type="dxa"/>
            <w:left w:w="0" w:type="dxa"/>
            <w:bottom w:w="0" w:type="dxa"/>
            <w:right w:w="0" w:type="dxa"/>
          </w:tblCellMar>
        </w:tblPrEx>
        <w:tc>
          <w:tcPr>
            <w:tcW w:w="5310" w:type="dxa"/>
            <w:tcBorders>
              <w:top w:val="single" w:sz="6" w:space="0" w:color="FFFFFF"/>
              <w:left w:val="single" w:sz="6" w:space="0" w:color="FFFFFF"/>
              <w:bottom w:val="single" w:sz="7" w:space="0" w:color="000000"/>
              <w:right w:val="single" w:sz="6" w:space="0" w:color="FFFFFF"/>
            </w:tcBorders>
          </w:tcPr>
          <w:p w:rsidR="00000000" w:rsidRDefault="00BC68DD">
            <w:pPr>
              <w:tabs>
                <w:tab w:val="left" w:pos="0"/>
                <w:tab w:val="left" w:pos="5040"/>
                <w:tab w:val="left" w:pos="5670"/>
              </w:tabs>
              <w:spacing w:after="19"/>
              <w:jc w:val="both"/>
              <w:rPr>
                <w:b/>
              </w:rPr>
            </w:pPr>
            <w:r>
              <w:rPr>
                <w:b/>
              </w:rPr>
              <w:t>IN THE MATTER OF THE APPLICATION OF AT&amp;T COMMUNICATIONS OF THE MOUNTAIN STATES, INC. FOR APPROVAL OF ITS PLAN TO IMPLEMENT INTRASTATE, INTRALATA DIALING PARITY.</w:t>
            </w:r>
          </w:p>
          <w:p w:rsidR="00000000" w:rsidRDefault="00BC68DD">
            <w:pPr>
              <w:tabs>
                <w:tab w:val="left" w:pos="0"/>
                <w:tab w:val="left" w:pos="5040"/>
                <w:tab w:val="left" w:pos="5670"/>
              </w:tabs>
              <w:spacing w:after="19"/>
              <w:jc w:val="both"/>
              <w:rPr>
                <w:b/>
              </w:rPr>
            </w:pPr>
            <w:r>
              <w:rPr>
                <w:b/>
              </w:rPr>
              <w:t xml:space="preserve"> </w:t>
            </w:r>
          </w:p>
        </w:tc>
        <w:tc>
          <w:tcPr>
            <w:tcW w:w="36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p w:rsidR="00000000" w:rsidRDefault="00BC68DD">
            <w:pPr>
              <w:tabs>
                <w:tab w:val="left" w:pos="0"/>
                <w:tab w:val="left" w:pos="5040"/>
                <w:tab w:val="left" w:pos="5670"/>
              </w:tabs>
              <w:jc w:val="both"/>
              <w:rPr>
                <w:b/>
              </w:rPr>
            </w:pPr>
            <w:r>
              <w:rPr>
                <w:b/>
              </w:rPr>
              <w:t>)</w:t>
            </w:r>
          </w:p>
        </w:tc>
        <w:tc>
          <w:tcPr>
            <w:tcW w:w="360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0"/>
                <w:tab w:val="left" w:pos="5040"/>
                <w:tab w:val="left" w:pos="5670"/>
              </w:tabs>
              <w:spacing w:after="19"/>
              <w:jc w:val="both"/>
              <w:rPr>
                <w:b/>
              </w:rPr>
            </w:pPr>
            <w:r>
              <w:rPr>
                <w:b/>
              </w:rPr>
              <w:t>CASE NO. ATT-T-99-1</w:t>
            </w:r>
          </w:p>
          <w:p w:rsidR="00000000" w:rsidRDefault="00BC68DD">
            <w:pPr>
              <w:tabs>
                <w:tab w:val="left" w:pos="0"/>
                <w:tab w:val="left" w:pos="5040"/>
                <w:tab w:val="left" w:pos="5670"/>
              </w:tabs>
              <w:spacing w:after="19"/>
              <w:jc w:val="both"/>
              <w:rPr>
                <w:b/>
              </w:rPr>
            </w:pPr>
          </w:p>
          <w:p w:rsidR="00000000" w:rsidRDefault="00BC68DD">
            <w:pPr>
              <w:tabs>
                <w:tab w:val="left" w:pos="0"/>
                <w:tab w:val="left" w:pos="5040"/>
                <w:tab w:val="left" w:pos="5670"/>
              </w:tabs>
              <w:spacing w:after="19"/>
              <w:jc w:val="both"/>
              <w:rPr>
                <w:b/>
              </w:rPr>
            </w:pPr>
          </w:p>
        </w:tc>
      </w:tr>
      <w:tr w:rsidR="00000000">
        <w:tblPrEx>
          <w:tblCellMar>
            <w:top w:w="0" w:type="dxa"/>
            <w:left w:w="0" w:type="dxa"/>
            <w:bottom w:w="0" w:type="dxa"/>
            <w:right w:w="0" w:type="dxa"/>
          </w:tblCellMar>
        </w:tblPrEx>
        <w:tc>
          <w:tcPr>
            <w:tcW w:w="531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5040"/>
                <w:tab w:val="left" w:pos="5670"/>
              </w:tabs>
              <w:spacing w:after="19"/>
              <w:jc w:val="both"/>
              <w:rPr>
                <w:b/>
              </w:rPr>
            </w:pPr>
            <w:r>
              <w:rPr>
                <w:b/>
              </w:rPr>
              <w:t>IN THE MATTER OF THE APPLICATIONS</w:t>
            </w:r>
            <w:r>
              <w:rPr>
                <w:b/>
              </w:rPr>
              <w:t xml:space="preserve"> OF IDAHO TELEPHONE ASSOCIATION, PROJECT MUTUAL TELEPHONE COOPERATIVE, CENTURYTEL OF THE GEM STATE, INC. AND CENTURYTEL OF IDAHO, INC. FOR APPROVAL OF THEIR RESPECTIVE PLANS TO IMPLEMENT INTRASTATE, INTRALATA DIALING PARITY.</w:t>
            </w:r>
          </w:p>
        </w:tc>
        <w:tc>
          <w:tcPr>
            <w:tcW w:w="36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p w:rsidR="00000000" w:rsidRDefault="00BC68DD">
            <w:pPr>
              <w:tabs>
                <w:tab w:val="left" w:pos="5040"/>
                <w:tab w:val="left" w:pos="5670"/>
              </w:tabs>
              <w:jc w:val="both"/>
              <w:rPr>
                <w:b/>
              </w:rPr>
            </w:pPr>
            <w:r>
              <w:rPr>
                <w:b/>
              </w:rPr>
              <w:t>)</w:t>
            </w:r>
          </w:p>
        </w:tc>
        <w:tc>
          <w:tcPr>
            <w:tcW w:w="360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5040"/>
                <w:tab w:val="left" w:pos="5670"/>
              </w:tabs>
              <w:jc w:val="both"/>
              <w:rPr>
                <w:b/>
              </w:rPr>
            </w:pPr>
            <w:r>
              <w:rPr>
                <w:b/>
              </w:rPr>
              <w:t>CASE NOS.  GN</w:t>
            </w:r>
            <w:r>
              <w:rPr>
                <w:b/>
              </w:rPr>
              <w:t>R-T-99-4</w:t>
            </w:r>
          </w:p>
          <w:p w:rsidR="00000000" w:rsidRDefault="00BC68DD">
            <w:pPr>
              <w:tabs>
                <w:tab w:val="left" w:pos="5040"/>
                <w:tab w:val="left" w:pos="5670"/>
              </w:tabs>
              <w:jc w:val="both"/>
              <w:rPr>
                <w:b/>
              </w:rPr>
            </w:pPr>
            <w:r>
              <w:rPr>
                <w:b/>
              </w:rPr>
              <w:t xml:space="preserve">                       PRJ-T-99-1</w:t>
            </w:r>
          </w:p>
          <w:p w:rsidR="00000000" w:rsidRDefault="00BC68DD">
            <w:pPr>
              <w:tabs>
                <w:tab w:val="left" w:pos="5040"/>
                <w:tab w:val="left" w:pos="5670"/>
              </w:tabs>
              <w:jc w:val="both"/>
              <w:rPr>
                <w:b/>
              </w:rPr>
            </w:pPr>
            <w:r>
              <w:rPr>
                <w:b/>
              </w:rPr>
              <w:t xml:space="preserve">                       CGS-T-99-1</w:t>
            </w:r>
          </w:p>
          <w:p w:rsidR="00000000" w:rsidRDefault="00BC68DD">
            <w:pPr>
              <w:tabs>
                <w:tab w:val="left" w:pos="5040"/>
                <w:tab w:val="left" w:pos="5670"/>
              </w:tabs>
              <w:jc w:val="both"/>
              <w:rPr>
                <w:b/>
              </w:rPr>
            </w:pPr>
            <w:r>
              <w:rPr>
                <w:b/>
              </w:rPr>
              <w:t xml:space="preserve">                       CEN-T-99-1</w:t>
            </w:r>
          </w:p>
          <w:p w:rsidR="00000000" w:rsidRDefault="00BC68DD">
            <w:pPr>
              <w:tabs>
                <w:tab w:val="left" w:pos="5040"/>
                <w:tab w:val="left" w:pos="5670"/>
              </w:tabs>
              <w:jc w:val="both"/>
              <w:rPr>
                <w:b/>
              </w:rPr>
            </w:pPr>
          </w:p>
          <w:p w:rsidR="00000000" w:rsidRDefault="00BC68DD">
            <w:pPr>
              <w:tabs>
                <w:tab w:val="left" w:pos="5040"/>
                <w:tab w:val="left" w:pos="5670"/>
              </w:tabs>
              <w:jc w:val="both"/>
              <w:rPr>
                <w:b/>
              </w:rPr>
            </w:pPr>
          </w:p>
          <w:p w:rsidR="00000000" w:rsidRDefault="00BC68DD">
            <w:pPr>
              <w:tabs>
                <w:tab w:val="left" w:pos="5040"/>
                <w:tab w:val="left" w:pos="5670"/>
              </w:tabs>
              <w:jc w:val="both"/>
              <w:rPr>
                <w:b/>
              </w:rPr>
            </w:pPr>
            <w:r>
              <w:rPr>
                <w:b/>
              </w:rPr>
              <w:t>AMENDED NOTICE TO</w:t>
            </w:r>
          </w:p>
          <w:p w:rsidR="00000000" w:rsidRDefault="00BC68DD">
            <w:pPr>
              <w:tabs>
                <w:tab w:val="left" w:pos="5040"/>
                <w:tab w:val="left" w:pos="5670"/>
              </w:tabs>
              <w:jc w:val="both"/>
              <w:rPr>
                <w:b/>
              </w:rPr>
            </w:pPr>
            <w:r>
              <w:rPr>
                <w:b/>
              </w:rPr>
              <w:t>RESCHEDULE  SETTLEMENT</w:t>
            </w:r>
          </w:p>
          <w:p w:rsidR="00000000" w:rsidRDefault="00BC68DD">
            <w:pPr>
              <w:tabs>
                <w:tab w:val="left" w:pos="5040"/>
                <w:tab w:val="left" w:pos="5670"/>
              </w:tabs>
              <w:jc w:val="both"/>
              <w:rPr>
                <w:b/>
              </w:rPr>
            </w:pPr>
            <w:r>
              <w:rPr>
                <w:b/>
              </w:rPr>
              <w:t>CONFERENCES</w:t>
            </w:r>
          </w:p>
        </w:tc>
      </w:tr>
      <w:tr w:rsidR="00000000">
        <w:tblPrEx>
          <w:tblCellMar>
            <w:top w:w="0" w:type="dxa"/>
            <w:left w:w="0" w:type="dxa"/>
            <w:bottom w:w="0" w:type="dxa"/>
            <w:right w:w="0" w:type="dxa"/>
          </w:tblCellMar>
        </w:tblPrEx>
        <w:tc>
          <w:tcPr>
            <w:tcW w:w="5310" w:type="dxa"/>
            <w:tcBorders>
              <w:top w:val="single" w:sz="6" w:space="0" w:color="FFFFFF"/>
              <w:left w:val="single" w:sz="6" w:space="0" w:color="FFFFFF"/>
              <w:bottom w:val="single" w:sz="7" w:space="0" w:color="000000"/>
              <w:right w:val="single" w:sz="6" w:space="0" w:color="FFFFFF"/>
            </w:tcBorders>
          </w:tcPr>
          <w:p w:rsidR="00000000" w:rsidRDefault="00BC68DD">
            <w:pPr>
              <w:tabs>
                <w:tab w:val="left" w:pos="5040"/>
                <w:tab w:val="left" w:pos="5670"/>
              </w:tabs>
              <w:spacing w:after="19"/>
              <w:jc w:val="both"/>
              <w:rPr>
                <w:b/>
              </w:rPr>
            </w:pPr>
          </w:p>
        </w:tc>
        <w:tc>
          <w:tcPr>
            <w:tcW w:w="36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5040"/>
                <w:tab w:val="left" w:pos="5670"/>
              </w:tabs>
              <w:jc w:val="both"/>
              <w:rPr>
                <w:b/>
              </w:rPr>
            </w:pPr>
            <w:r>
              <w:rPr>
                <w:b/>
              </w:rPr>
              <w:t>)</w:t>
            </w:r>
          </w:p>
        </w:tc>
        <w:tc>
          <w:tcPr>
            <w:tcW w:w="3600" w:type="dxa"/>
            <w:tcBorders>
              <w:top w:val="single" w:sz="6" w:space="0" w:color="FFFFFF"/>
              <w:left w:val="single" w:sz="6" w:space="0" w:color="FFFFFF"/>
              <w:bottom w:val="single" w:sz="6" w:space="0" w:color="FFFFFF"/>
              <w:right w:val="single" w:sz="6" w:space="0" w:color="FFFFFF"/>
            </w:tcBorders>
          </w:tcPr>
          <w:p w:rsidR="00000000" w:rsidRDefault="00BC68DD">
            <w:pPr>
              <w:tabs>
                <w:tab w:val="left" w:pos="5040"/>
                <w:tab w:val="left" w:pos="5670"/>
              </w:tabs>
              <w:jc w:val="both"/>
              <w:rPr>
                <w:b/>
              </w:rPr>
            </w:pPr>
          </w:p>
        </w:tc>
      </w:tr>
    </w:tbl>
    <w:p w:rsidR="00000000" w:rsidRDefault="00BC68DD">
      <w:pPr>
        <w:jc w:val="both"/>
      </w:pPr>
    </w:p>
    <w:p w:rsidR="00000000" w:rsidRDefault="00BC68DD">
      <w:pPr>
        <w:jc w:val="both"/>
      </w:pPr>
    </w:p>
    <w:p w:rsidR="00000000" w:rsidRDefault="00BC68DD">
      <w:pPr>
        <w:spacing w:line="360" w:lineRule="auto"/>
        <w:jc w:val="both"/>
      </w:pPr>
      <w:r>
        <w:tab/>
        <w:t xml:space="preserve">YOU ARE HEREBY NOTIFIED that on April 23, 1999, the Commission issued Notices of </w:t>
      </w:r>
      <w:r>
        <w:t xml:space="preserve">Settlement Conference in the above referenced cases scheduling a settlement conference for Friday, May 28, 1999.  </w:t>
      </w:r>
    </w:p>
    <w:p w:rsidR="00000000" w:rsidRDefault="00BC68DD">
      <w:pPr>
        <w:spacing w:line="360" w:lineRule="auto"/>
        <w:jc w:val="both"/>
      </w:pPr>
      <w:r>
        <w:tab/>
        <w:t>YOU ARE FURTHER NOTIFIED that the Commission has determined to amend the earlier Notice and reschedule the settlement conference in these ca</w:t>
      </w:r>
      <w:r>
        <w:t>ses.  The aforementioned conference date has been cancelled.  Instead, the Commission will conduct settlement conferences in the above referenced cases as follows:</w:t>
      </w:r>
    </w:p>
    <w:p w:rsidR="00000000" w:rsidRDefault="00BC68DD">
      <w:pPr>
        <w:pStyle w:val="Style1"/>
        <w:rPr>
          <w:b/>
          <w:u w:val="single"/>
        </w:rPr>
      </w:pPr>
      <w:r>
        <w:rPr>
          <w:b/>
          <w:u w:val="single"/>
        </w:rPr>
        <w:t>Case No. GNR-T-94-5:  WEDNESDAY, MAY 26, 1999, COMMENCING AT 9:30 A.M. AT THE OFFICES OF THE</w:t>
      </w:r>
      <w:r>
        <w:rPr>
          <w:b/>
          <w:u w:val="single"/>
        </w:rPr>
        <w:t xml:space="preserve"> IDAHO PUBLIC UTILITIES COMMISSION, 472 W. WASHINGTON STREET, BOISE, IDAHO.</w:t>
      </w:r>
    </w:p>
    <w:p w:rsidR="00000000" w:rsidRDefault="00BC68DD">
      <w:pPr>
        <w:pStyle w:val="Style1"/>
        <w:rPr>
          <w:b/>
          <w:u w:val="single"/>
        </w:rPr>
      </w:pPr>
    </w:p>
    <w:p w:rsidR="00000000" w:rsidRDefault="00BC68DD">
      <w:pPr>
        <w:pStyle w:val="Style1"/>
        <w:rPr>
          <w:b/>
          <w:u w:val="single"/>
        </w:rPr>
      </w:pPr>
      <w:r>
        <w:rPr>
          <w:b/>
          <w:u w:val="single"/>
        </w:rPr>
        <w:br w:type="page"/>
      </w:r>
      <w:r>
        <w:rPr>
          <w:b/>
          <w:u w:val="single"/>
        </w:rPr>
        <w:lastRenderedPageBreak/>
        <w:t>Case No. ATT-T-99-1:  WEDNESDAY, MAY 26, 1999, COMMENCING AT 11:00 A.M. AT THE OFFICES OF THE IDAHO PUBLIC UTILITIES COMMISSION, 472 WEST WASHINGTON STREET, BOISE, IDAHO.</w:t>
      </w:r>
    </w:p>
    <w:p w:rsidR="00000000" w:rsidRDefault="00BC68DD">
      <w:pPr>
        <w:pStyle w:val="Style1"/>
        <w:rPr>
          <w:b/>
          <w:u w:val="single"/>
        </w:rPr>
      </w:pPr>
    </w:p>
    <w:p w:rsidR="00000000" w:rsidRDefault="00BC68DD">
      <w:pPr>
        <w:pStyle w:val="Style1"/>
        <w:rPr>
          <w:b/>
          <w:u w:val="single"/>
        </w:rPr>
      </w:pPr>
      <w:r>
        <w:rPr>
          <w:b/>
          <w:u w:val="single"/>
        </w:rPr>
        <w:t>Case N</w:t>
      </w:r>
      <w:r>
        <w:rPr>
          <w:b/>
          <w:u w:val="single"/>
        </w:rPr>
        <w:t>os. GNR-T-99-4, PRJ-T-99-1, CGS-T-99-1, and CEN-T-99-1:  WEDNESDAY, MAY 26, 1999, COMMENCING AT 1:30 P.M. AT THE OFFICES OF THE IDAHO PUBLIC UTILITIES COMMISSION, 472 W. WASHINGTON STREET, BOISE, IDAHO.</w:t>
      </w:r>
    </w:p>
    <w:p w:rsidR="00000000" w:rsidRDefault="00BC68DD">
      <w:pPr>
        <w:tabs>
          <w:tab w:val="left" w:pos="5040"/>
          <w:tab w:val="left" w:pos="5670"/>
        </w:tabs>
        <w:jc w:val="both"/>
      </w:pPr>
    </w:p>
    <w:p w:rsidR="00000000" w:rsidRDefault="00BC68DD">
      <w:pPr>
        <w:spacing w:line="360" w:lineRule="auto"/>
        <w:jc w:val="both"/>
      </w:pPr>
      <w:r>
        <w:tab/>
        <w:t xml:space="preserve">YOU ARE FURTHER NOTIFIED that all other aspects of </w:t>
      </w:r>
      <w:r>
        <w:t>the Notices of Application, Notices of Settlement Conference, and Notices of Modified Procedure (Order Nos. 28027, 28029, and 28028, respectively) issued by this Commission on April 23, 1999, remain in full force and effect.</w:t>
      </w:r>
    </w:p>
    <w:p w:rsidR="00000000" w:rsidRDefault="00BC68DD">
      <w:pPr>
        <w:keepNext/>
        <w:keepLines/>
        <w:tabs>
          <w:tab w:val="left" w:pos="-1440"/>
          <w:tab w:val="left" w:pos="-720"/>
          <w:tab w:val="left" w:pos="0"/>
          <w:tab w:val="left" w:pos="108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s>
        <w:jc w:val="both"/>
      </w:pPr>
      <w:r>
        <w:tab/>
        <w:t xml:space="preserve">DATED at Boise, Idaho this </w:t>
      </w:r>
      <w:r>
        <w:tab/>
        <w:t>da</w:t>
      </w:r>
      <w:r>
        <w:t>y of May 1999.</w:t>
      </w:r>
    </w:p>
    <w:p w:rsidR="00000000" w:rsidRDefault="00BC68DD">
      <w:pPr>
        <w:keepNext/>
        <w:keepLines/>
        <w:tabs>
          <w:tab w:val="left" w:pos="-1440"/>
          <w:tab w:val="left" w:pos="-720"/>
          <w:tab w:val="left" w:pos="0"/>
          <w:tab w:val="left" w:pos="108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BC68DD">
      <w:pPr>
        <w:keepNext/>
        <w:keepLines/>
        <w:tabs>
          <w:tab w:val="left" w:pos="-1440"/>
          <w:tab w:val="left" w:pos="-720"/>
          <w:tab w:val="left" w:pos="0"/>
          <w:tab w:val="left" w:pos="108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BC68DD">
      <w:pPr>
        <w:keepNext/>
        <w:keepLines/>
        <w:tabs>
          <w:tab w:val="left" w:pos="-1440"/>
          <w:tab w:val="left" w:pos="-720"/>
          <w:tab w:val="left" w:pos="0"/>
          <w:tab w:val="left" w:pos="108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BC68DD">
      <w:pPr>
        <w:keepNext/>
        <w:keepLines/>
        <w:tabs>
          <w:tab w:val="left" w:pos="-1440"/>
          <w:tab w:val="left" w:pos="-720"/>
          <w:tab w:val="left" w:pos="0"/>
          <w:tab w:val="left" w:pos="43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tab/>
      </w:r>
      <w:r>
        <w:rPr>
          <w:u w:val="single"/>
        </w:rPr>
        <w:tab/>
        <w:t xml:space="preserve">                                                </w:t>
      </w:r>
    </w:p>
    <w:p w:rsidR="00000000" w:rsidRDefault="00BC68DD">
      <w:pPr>
        <w:keepNext/>
        <w:keepLines/>
        <w:tabs>
          <w:tab w:val="left" w:pos="-1440"/>
          <w:tab w:val="left" w:pos="-720"/>
          <w:tab w:val="left" w:pos="0"/>
          <w:tab w:val="left" w:pos="43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tab/>
        <w:t>Myrna J. Walters</w:t>
      </w:r>
    </w:p>
    <w:p w:rsidR="00000000" w:rsidRDefault="00BC68DD">
      <w:pPr>
        <w:keepNext/>
        <w:keepLines/>
        <w:tabs>
          <w:tab w:val="left" w:pos="-1440"/>
          <w:tab w:val="left" w:pos="-720"/>
          <w:tab w:val="left" w:pos="0"/>
          <w:tab w:val="left" w:pos="43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tab/>
        <w:t>Commission Secretary</w:t>
      </w:r>
    </w:p>
    <w:p w:rsidR="00000000" w:rsidRDefault="00BC68DD">
      <w:pPr>
        <w:keepNext/>
        <w:keepLines/>
        <w:tabs>
          <w:tab w:val="left" w:pos="-1440"/>
          <w:tab w:val="left" w:pos="-720"/>
          <w:tab w:val="left" w:pos="0"/>
          <w:tab w:val="left" w:pos="43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p>
    <w:p w:rsidR="00000000" w:rsidRDefault="00BC68DD">
      <w:pPr>
        <w:tabs>
          <w:tab w:val="left" w:pos="1080"/>
        </w:tabs>
        <w:spacing w:line="360" w:lineRule="auto"/>
        <w:jc w:val="both"/>
      </w:pPr>
    </w:p>
    <w:p w:rsidR="00000000" w:rsidRDefault="00BC68DD">
      <w:pPr>
        <w:tabs>
          <w:tab w:val="left" w:pos="1080"/>
        </w:tabs>
        <w:spacing w:line="360" w:lineRule="auto"/>
        <w:jc w:val="both"/>
        <w:rPr>
          <w:sz w:val="18"/>
        </w:rPr>
      </w:pPr>
      <w:r>
        <w:rPr>
          <w:sz w:val="18"/>
        </w:rPr>
        <w:t>bls/N:gnrt945_ws.doc</w:t>
      </w:r>
    </w:p>
    <w:sectPr w:rsidR="00000000">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68DD">
      <w:r>
        <w:separator/>
      </w:r>
    </w:p>
  </w:endnote>
  <w:endnote w:type="continuationSeparator" w:id="0">
    <w:p w:rsidR="00000000" w:rsidRDefault="00B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C68DD">
    <w:pPr>
      <w:pStyle w:val="Footer"/>
    </w:pPr>
  </w:p>
  <w:p w:rsidR="00000000" w:rsidRDefault="00BC68DD">
    <w:pPr>
      <w:pStyle w:val="Footer"/>
    </w:pPr>
    <w:r>
      <w:t>AMENDED NOTICE TO RESCHEDULE</w:t>
    </w:r>
  </w:p>
  <w:p w:rsidR="00000000" w:rsidRDefault="00BC68DD">
    <w:pPr>
      <w:pStyle w:val="Footer"/>
    </w:pPr>
    <w:r>
      <w:t>SETTLEMENT CONFERENCES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68DD">
      <w:r>
        <w:separator/>
      </w:r>
    </w:p>
  </w:footnote>
  <w:footnote w:type="continuationSeparator" w:id="0">
    <w:p w:rsidR="00000000" w:rsidRDefault="00BC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DD"/>
    <w:rsid w:val="00BC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462A310-2674-414C-876B-98925B4F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lockText"/>
    <w:pPr>
      <w:spacing w:after="0"/>
      <w:ind w:left="1080" w:right="1080"/>
      <w:jc w:val="both"/>
    </w:pPr>
  </w:style>
  <w:style w:type="paragraph" w:styleId="BlockText">
    <w:name w:val="Block Text"/>
    <w:basedOn w:val="Normal"/>
    <w:semiHidden/>
    <w:pPr>
      <w:spacing w:after="120"/>
      <w:ind w:left="1440" w:right="1440"/>
    </w:pPr>
  </w:style>
  <w:style w:type="paragraph" w:customStyle="1" w:styleId="Style2">
    <w:name w:val="Style2"/>
    <w:basedOn w:val="Style1"/>
    <w:pPr>
      <w:tabs>
        <w:tab w:val="left" w:pos="1080"/>
      </w:tabs>
      <w:ind w:left="0" w:right="0"/>
    </w:pPr>
  </w:style>
  <w:style w:type="paragraph" w:styleId="Title">
    <w:name w:val="Title"/>
    <w:basedOn w:val="Normal"/>
    <w:qFormat/>
    <w:pPr>
      <w:tabs>
        <w:tab w:val="left" w:pos="-1152"/>
      </w:tabs>
      <w:spacing w:line="360" w:lineRule="auto"/>
      <w:jc w:val="center"/>
    </w:pPr>
    <w:rPr>
      <w:b/>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 IDAHO PUBLIC UTILITIES COMMISSION</vt:lpstr>
    </vt:vector>
  </TitlesOfParts>
  <Company>IPUC</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IDAHO PUBLIC UTILITIES COMMISSION</dc:title>
  <dc:subject/>
  <dc:creator>ipuc</dc:creator>
  <cp:keywords/>
  <cp:lastModifiedBy>Jesse Marquart</cp:lastModifiedBy>
  <cp:revision>2</cp:revision>
  <cp:lastPrinted>1999-05-06T16:22:00Z</cp:lastPrinted>
  <dcterms:created xsi:type="dcterms:W3CDTF">2016-03-16T23:46:00Z</dcterms:created>
  <dcterms:modified xsi:type="dcterms:W3CDTF">2016-03-16T23:46:00Z</dcterms:modified>
</cp:coreProperties>
</file>