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CAPITOL WATER CORPORATION FOR)CASE NO. CAP-W-95-1</w:t>
      </w:r>
      <w:r>
        <w:rPr/>
      </w:r>
    </w:p>
    <w:p>
      <w:r>
        <w:rPr>
          <w:color w:val="000000"/>
          <w:rFonts w:ascii="Times New Roman  (TT)" w:hAnsi="Times New Roman  (TT)"/>
          <w:sz w:val="24"/>
        </w:rPr>
        <w:t xml:space="preserve">AUTHORITY TO INCREASE ITS RATES)</w:t>
      </w:r>
      <w:r>
        <w:rPr/>
      </w:r>
    </w:p>
    <w:p>
      <w:r>
        <w:rPr>
          <w:color w:val="000000"/>
          <w:rFonts w:ascii="Times New Roman  (TT)" w:hAnsi="Times New Roman  (TT)"/>
          <w:sz w:val="24"/>
        </w:rPr>
        <w:t xml:space="preserve">AND ALTERNATIVE APPLICATION FOR)NOTICE OF FURTHER</w:t>
      </w:r>
      <w:r>
        <w:rPr/>
      </w:r>
    </w:p>
    <w:p>
      <w:r>
        <w:rPr>
          <w:color w:val="000000"/>
          <w:rFonts w:ascii="Times New Roman  (TT)" w:hAnsi="Times New Roman  (TT)"/>
          <w:sz w:val="24"/>
        </w:rPr>
        <w:t xml:space="preserve">INTERIM RATES )      SCHEDULING</w:t>
      </w:r>
      <w:r>
        <w:rPr/>
      </w:r>
    </w:p>
    <w:p>
      <w:r>
        <w:rPr>
          <w:color w:val="000000"/>
          <w:rFonts w:ascii="Times New Roman  (TT)" w:hAnsi="Times New Roman  (TT)"/>
          <w:sz w:val="24"/>
        </w:rPr>
        <w:t xml:space="preserve">)NOTICE OF INTERVENTION</w:t>
      </w:r>
      <w:r>
        <w:rPr/>
      </w:r>
    </w:p>
    <w:p>
      <w:r>
        <w:rPr>
          <w:color w:val="000000"/>
          <w:rFonts w:ascii="Times New Roman  (TT)" w:hAnsi="Times New Roman  (TT)"/>
          <w:sz w:val="24"/>
        </w:rPr>
        <w:t xml:space="preserve">)        DEADLINE</w:t>
      </w:r>
      <w:r>
        <w:rPr/>
      </w:r>
    </w:p>
    <w:p>
      <w:r>
        <w:rPr>
          <w:color w:val="000000"/>
          <w:rFonts w:ascii="Times New Roman  (TT)" w:hAnsi="Times New Roman  (TT)"/>
          <w:sz w:val="24"/>
        </w:rPr>
        <w:t xml:space="preserve">)NOTICE OF HEARING</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p>
      <w:r>
        <w:rPr/>
      </w:r>
    </w:p>
    <w:p>
      <w:r>
        <w:rPr>
          <w:color w:val="000000"/>
          <w:rFonts w:ascii="Times New Roman  (TT)" w:hAnsi="Times New Roman  (TT)"/>
          <w:sz w:val="24"/>
        </w:rPr>
        <w:t xml:space="preserve">YOU ARE HEREBY NOTIFIED that on July 11, 1995, Capitol Water Corporation (Capitol Water; Company) filed an Application with the Idaho Public Utilities Commission (Commission) for authority to increase its tariff rates and charges for water utility service.  The Company in its principal Application is proposing a 25.8% increase.  The requested increase was suspended by the Commission so as to provide sufficient time and opportunity for intervention, investigation and public hearing.  Reference Order No. 26121.  Following an expedited hearing on Capitol Water’s Alternative Application for an interim rate increase, the Commission approved an interim annual increase (subject to refund) in the amount of $5,889 (a 2.29% surcharge to residential and commercial customers).  Reference Order No 26163.</w:t>
      </w:r>
      <w:r>
        <w:rPr/>
      </w:r>
    </w:p>
    <w:p>
      <w:r>
        <w:rPr>
          <w:color w:val="000000"/>
          <w:rFonts w:ascii="Times New Roman  (TT)" w:hAnsi="Times New Roman  (TT)"/>
          <w:sz w:val="24"/>
        </w:rPr>
        <w:t xml:space="preserve">The Company proposes the following permanent rates for residential customers, metered commercial customers and private fire, sprinkler and hose service customers:  </w:t>
      </w:r>
      <w:r>
        <w:rPr/>
      </w:r>
    </w:p>
    <w:p>
      <w:r>
        <w:rPr/>
      </w:r>
    </w:p>
    <w:p>
      <w:r>
        <w:rPr>
          <w:color w:val="000000"/>
          <w:rFonts w:ascii="Times New Roman  (TT)" w:hAnsi="Times New Roman  (TT)"/>
          <w:sz w:val="24"/>
        </w:rPr>
        <w:t xml:space="preserve">CAPITOL WATER CORPORATION</w:t>
      </w:r>
      <w:r>
        <w:rPr/>
      </w:r>
    </w:p>
    <w:p>
      <w:r>
        <w:rPr>
          <w:color w:val="000000"/>
          <w:rFonts w:ascii="Times New Roman  (TT)" w:hAnsi="Times New Roman  (TT)"/>
          <w:sz w:val="24"/>
        </w:rPr>
        <w:t xml:space="preserve">PRESENT AND PROPOSED RATE COMPARISON</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Schedule No. 1</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Present</w:t>
            </w:r>
            <w:r>
              <w:rPr/>
            </w:r>
          </w:p>
          <w:p>
            <w:r>
              <w:rPr>
                <w:color w:val="000000"/>
                <w:rFonts w:ascii="Times New Roman  (TT)" w:hAnsi="Times New Roman  (TT)"/>
                <w:sz w:val="24"/>
              </w:rPr>
              <w:t xml:space="preserve">Rates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Proposed</w:t>
            </w:r>
            <w:r>
              <w:rPr/>
            </w:r>
          </w:p>
          <w:p>
            <w:r>
              <w:rPr>
                <w:color w:val="000000"/>
                <w:rFonts w:ascii="Times New Roman  (TT)" w:hAnsi="Times New Roman  (TT)"/>
                <w:sz w:val="24"/>
              </w:rPr>
              <w:t xml:space="preserve">Permanent Rates</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FLAT RATE - Rates--Monthly</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3/4" service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$ 8.06</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$10.14</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 service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$ 9.78</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$12.30</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1-1/4" service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$10.89</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$13.70</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Sprinkling</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$10.34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$13.00</w:t>
            </w:r>
            <w:r>
              <w:rPr/>
            </w:r>
          </w:p>
        </w:tc>
      </w:tr>
    </w:tbl>
    <w:p>
      <w:pPr/>
    </w:p>
    <w:p>
      <w:r>
        <w:rPr/>
      </w:r>
    </w:p>
    <w:tbl>
      <w:tblPr>
        <w:tblW w:w="9600" w:type="dxa"/>
        <w:tblBorders>
          <w:top w:val="single" w:sz="1" w:space="0" w:color="auto"/>
          <w:left w:val="single" w:sz="1" w:space="0" w:color="auto"/>
          <w:bottom w:val="single" w:sz="1" w:space="0" w:color="auto"/>
          <w:right w:val="single" w:sz="1" w:space="0" w:color="auto"/>
        </w:tblBorders>
      </w:tblPr>
      <w:tblGrid>
        <w:gridCol w:w="2400"/>
        <w:gridCol w:w="2400"/>
        <w:gridCol w:w="2400"/>
        <w:gridCol w:w="2400"/>
      </w:tblGrid>
      <w:tr>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Schedule No. 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Present</w:t>
            </w:r>
            <w:r>
              <w:rPr/>
            </w:r>
          </w:p>
          <w:p>
            <w:r>
              <w:rPr>
                <w:color w:val="000000"/>
                <w:rFonts w:ascii="Times New Roman  (TT)" w:hAnsi="Times New Roman  (TT)"/>
                <w:sz w:val="24"/>
              </w:rPr>
              <w:t xml:space="preserve">Rates</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Proposed</w:t>
            </w:r>
            <w:r>
              <w:rPr/>
            </w:r>
          </w:p>
          <w:p>
            <w:r>
              <w:rPr>
                <w:color w:val="000000"/>
                <w:rFonts w:ascii="Times New Roman  (TT)" w:hAnsi="Times New Roman  (TT)"/>
                <w:sz w:val="24"/>
              </w:rPr>
              <w:t xml:space="preserve">Permanent Rates</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METERED RATED</w:t>
            </w:r>
            <w:r>
              <w:rPr/>
            </w:r>
          </w:p>
          <w:p>
            <w:r>
              <w:rPr>
                <w:color w:val="000000"/>
                <w:rFonts w:ascii="Times New Roman  (TT)" w:hAnsi="Times New Roman  (TT)"/>
                <w:sz w:val="24"/>
              </w:rPr>
              <w:t xml:space="preserve">Rates--Monthly</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$.79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.99</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Next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$.45</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.57</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Next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2000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.43</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Minimum Charges:</w:t>
            </w:r>
            <w:r>
              <w:rPr>
                <w:color w:val="000000"/>
                <w:rFonts w:ascii="Times New Roman  (TT)" w:hAnsi="Times New Roman  (TT)"/>
                <w:sz w:val="24"/>
              </w:rPr>
              <w:t xml:space="preserve">  The monthly minimum charges for service under this schedule shall not be less than the following for all customers.</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Meter Size</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3/4" and smaller</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$ 5.15</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$ 6.48</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$ 7.27</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$ 9.15</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1-1/2"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$10.59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$13.32</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$18.34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$23.07</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$32.88</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$41.36</w:t>
            </w:r>
            <w:r>
              <w:rPr/>
            </w:r>
          </w:p>
        </w:tc>
      </w:tr>
    </w:tbl>
    <w:p>
      <w:pPr/>
    </w:p>
    <w:p>
      <w:r>
        <w:rPr/>
      </w:r>
    </w:p>
    <w:p>
      <w:r>
        <w:rPr>
          <w:color w:val="000000"/>
          <w:rFonts w:ascii="Times New Roman  (TT)" w:hAnsi="Times New Roman  (TT)"/>
          <w:sz w:val="24"/>
        </w:rPr>
        <w:t xml:space="preserve">Schedule No. 3 - No change</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Schedule No. 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Present</w:t>
            </w:r>
            <w:r>
              <w:rPr/>
            </w:r>
          </w:p>
          <w:p>
            <w:r>
              <w:rPr>
                <w:color w:val="000000"/>
                <w:rFonts w:ascii="Times New Roman  (TT)" w:hAnsi="Times New Roman  (TT)"/>
                <w:sz w:val="24"/>
              </w:rPr>
              <w:t xml:space="preserve">Rates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Proposed</w:t>
            </w:r>
            <w:r>
              <w:rPr/>
            </w:r>
          </w:p>
          <w:p>
            <w:r>
              <w:rPr>
                <w:color w:val="000000"/>
                <w:rFonts w:ascii="Times New Roman  (TT)" w:hAnsi="Times New Roman  (TT)"/>
                <w:sz w:val="24"/>
              </w:rPr>
              <w:t xml:space="preserve">Permanent Rates</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RATES FOR PRIVATE FIRE SPRINKLER AND HOSE SERVICE - Rates--Monthly</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For 3" Service or smaller,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$ 5.67</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$ 7.13</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For 4"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$ 7.93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$ 9.98</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For 6"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$18.14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$22.82</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For 8"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$29.47</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$37.07</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For 10"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$45.34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$57.04</w:t>
            </w:r>
            <w:r>
              <w:rPr/>
            </w:r>
          </w:p>
        </w:tc>
      </w:tr>
    </w:tbl>
    <w:p>
      <w:pPr/>
    </w:p>
    <w:p>
      <w:r>
        <w:rPr/>
      </w:r>
    </w:p>
    <w:p>
      <w:r>
        <w:rPr>
          <w:color w:val="000000"/>
          <w:rFonts w:ascii="Times New Roman  (TT)" w:hAnsi="Times New Roman  (TT)"/>
          <w:sz w:val="24"/>
        </w:rPr>
        <w:t xml:space="preserve">In support of its Application the Company has filed testimony and exhibits showing financial statements, cost of capital, and documentation showing how the test year data was adjusted.  The present and proposed rate schedules and water service regulations are available for public inspection during regular business hours at the Company’s office located at 2626 Eldorado, Boise and also at the Commission’s office, 472 W. Washington, Boise.</w:t>
      </w:r>
      <w:r>
        <w:rPr/>
      </w:r>
    </w:p>
    <w:p>
      <w:r>
        <w:rPr>
          <w:color w:val="000000"/>
          <w:rFonts w:ascii="Times New Roman  (TT)" w:hAnsi="Times New Roman  (TT)"/>
          <w:sz w:val="24"/>
        </w:rPr>
        <w:t xml:space="preserve">YOU ARE FURTHER NOTIFIED that pursuant to its authority and jurisdiction under Title 61 of the Idaho Code, the Commission may determine a change in the Company’s total revenue requirement in an amount other than that proposed by the Company.  The Commission may also determine a spread or allocation or relative increase or decrease in a rate or charge different from that proposed by the Company.</w:t>
      </w:r>
      <w:r>
        <w:rPr/>
      </w:r>
    </w:p>
    <w:p>
      <w:r>
        <w:rPr>
          <w:color w:val="000000"/>
          <w:rFonts w:ascii="Times New Roman  (TT)" w:hAnsi="Times New Roman  (TT)"/>
          <w:sz w:val="24"/>
        </w:rPr>
        <w:t xml:space="preserve">YOU ARE FURTHER NOTIFIED that pursuant to agreement of the parties and the Commission, the following scheduling in the matter of the Company’s Application and request for a permanent increase in rates is adopted:</w:t>
      </w:r>
      <w:r>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 October 23, 1995</w:t>
            </w:r>
            <w:r>
              <w:rPr/>
            </w:r>
          </w:p>
          <w:p>
            <w:r>
              <w:rPr/>
            </w:r>
          </w:p>
          <w:p>
            <w:r>
              <w:rPr>
                <w:color w:val="000000"/>
                <w:rFonts w:ascii="Times New Roman  (TT)" w:hAnsi="Times New Roman  (TT)"/>
                <w:sz w:val="24"/>
              </w:rPr>
              <w:t xml:space="preserve">November 1, 1995</w:t>
            </w:r>
            <w:r>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Staff/Intervenor deadline for direct testimony</w:t>
            </w:r>
            <w:r>
              <w:rPr/>
            </w:r>
          </w:p>
          <w:p>
            <w:r>
              <w:rPr/>
            </w:r>
          </w:p>
          <w:p>
            <w:r>
              <w:rPr>
                <w:color w:val="000000"/>
                <w:rFonts w:ascii="Times New Roman  (TT)" w:hAnsi="Times New Roman  (TT)"/>
                <w:sz w:val="24"/>
              </w:rPr>
              <w:t xml:space="preserve">Company prefile deadline for rebuttal testimony</w:t>
            </w:r>
            <w:r>
              <w:rPr/>
            </w:r>
          </w:p>
        </w:tc>
      </w:tr>
    </w:tbl>
    <w:p>
      <w:pPr/>
    </w:p>
    <w:p>
      <w:r>
        <w:rPr/>
      </w:r>
    </w:p>
    <w:p>
      <w:r>
        <w:rPr/>
      </w:r>
    </w:p>
    <w:p>
      <w:r>
        <w:rPr>
          <w:color w:val="000000"/>
          <w:rFonts w:ascii="Times New Roman  (TT)" w:hAnsi="Times New Roman  (TT)"/>
          <w:sz w:val="24"/>
        </w:rPr>
        <w:t xml:space="preserve">YOU ARE FURTHER NOTIFIED that persons desiring to intervene in this matter for the purpose of presenting evidence or cross examining witnesses at hearing must file a Petition to Intervene with the Commission pursuant to the Commission’s Rules of Procedure, IDAPA 31.01.01.071-.073.  </w:t>
      </w:r>
      <w:r>
        <w:rPr>
          <w:color w:val="000000"/>
          <w:rFonts w:ascii="Times New Roman  (TT)" w:hAnsi="Times New Roman  (TT)"/>
          <w:sz w:val="24"/>
        </w:rPr>
        <w:t xml:space="preserve">The deadline for filing a Petition to Intervene is Friday, October 13, 1995.</w:t>
      </w:r>
      <w:r>
        <w:rPr/>
      </w:r>
    </w:p>
    <w:p>
      <w:r>
        <w:rPr>
          <w:color w:val="000000"/>
          <w:rFonts w:ascii="Times New Roman  (TT)" w:hAnsi="Times New Roman  (TT)"/>
          <w:sz w:val="24"/>
        </w:rPr>
        <w:t xml:space="preserve">YOU ARE FURTHER NOTIFIED that the prepared testimony and exhibits of the parties must conform to the requirements of Rules 266 through 267 of the Commission’s Rules of Procedure, IDAPA 31.01.01.266-.267.</w:t>
      </w:r>
      <w:r>
        <w:rPr/>
      </w:r>
    </w:p>
    <w:p>
      <w:r>
        <w:rPr>
          <w:color w:val="000000"/>
          <w:rFonts w:ascii="Times New Roman  (TT)" w:hAnsi="Times New Roman  (TT)"/>
          <w:sz w:val="24"/>
        </w:rPr>
        <w:t xml:space="preserve">YOU ARE FURTHER NOTIFIED that discovery is available in Case No. CAP-W-95-1 pursuant to the Commission’s Rules of Procedure, IDAPA 31.01.01.221-.234.</w:t>
      </w:r>
      <w:r>
        <w:rPr/>
      </w:r>
    </w:p>
    <w:p>
      <w:r>
        <w:rPr>
          <w:color w:val="000000"/>
          <w:rFonts w:ascii="Times New Roman  (TT)" w:hAnsi="Times New Roman  (TT)"/>
          <w:sz w:val="24"/>
        </w:rPr>
        <w:t xml:space="preserve">YOU ARE FURTHER NOTIFIED that a </w:t>
      </w:r>
      <w:r>
        <w:rPr>
          <w:color w:val="000000"/>
          <w:rFonts w:ascii="Times New Roman  (TT)" w:hAnsi="Times New Roman  (TT)"/>
          <w:sz w:val="24"/>
        </w:rPr>
        <w:t xml:space="preserve">public hearing</w:t>
      </w:r>
      <w:r>
        <w:rPr>
          <w:color w:val="000000"/>
          <w:rFonts w:ascii="Times New Roman  (TT)" w:hAnsi="Times New Roman  (TT)"/>
          <w:sz w:val="24"/>
        </w:rPr>
        <w:t xml:space="preserve"> on Capitol Water’s </w:t>
      </w:r>
      <w:r>
        <w:rPr>
          <w:color w:val="000000"/>
          <w:rFonts w:ascii="Times New Roman  (TT)" w:hAnsi="Times New Roman  (TT)"/>
          <w:sz w:val="24"/>
        </w:rPr>
        <w:t xml:space="preserve">request </w:t>
      </w:r>
      <w:r>
        <w:rPr>
          <w:color w:val="000000"/>
          <w:rFonts w:ascii="Times New Roman  (TT)" w:hAnsi="Times New Roman  (TT)"/>
          <w:sz w:val="24"/>
        </w:rPr>
        <w:t xml:space="preserve">for a permanent increase in rates</w:t>
      </w:r>
      <w:r>
        <w:rPr>
          <w:color w:val="000000"/>
          <w:rFonts w:ascii="Times New Roman  (TT)" w:hAnsi="Times New Roman  (TT)"/>
          <w:sz w:val="24"/>
        </w:rPr>
        <w:t xml:space="preserve"> in Case No. CAP-W-95-1 is scheduled for</w:t>
      </w:r>
      <w:r>
        <w:rPr>
          <w:color w:val="000000"/>
          <w:rFonts w:ascii="Times New Roman  (TT)" w:hAnsi="Times New Roman  (TT)"/>
          <w:sz w:val="24"/>
        </w:rPr>
        <w:t xml:space="preserve"> TUESDAY, NOVEMBER 7, 1995 COMMENCING AT 9:30 A.M. AT THE COMMISSION HEARING ROOM, 472 WEST WASHINGTON STREET, BOISE, IDAHO (208)334-0300.  </w:t>
      </w:r>
      <w:r>
        <w:rPr>
          <w:color w:val="000000"/>
          <w:rFonts w:ascii="Times New Roman  (TT)" w:hAnsi="Times New Roman  (TT)"/>
          <w:sz w:val="24"/>
        </w:rPr>
        <w:t xml:space="preserve">Public testimony in this matter will be taken at the same location on Tuesday, November 7, 1995 at 7:00 p.m.</w:t>
      </w:r>
      <w:r>
        <w:rPr/>
      </w:r>
    </w:p>
    <w:p>
      <w:r>
        <w:rPr>
          <w:color w:val="000000"/>
          <w:rFonts w:ascii="Times New Roman  (TT)" w:hAnsi="Times New Roman  (TT)"/>
          <w:sz w:val="24"/>
        </w:rPr>
        <w:t xml:space="preserve">YOU ARE FURTHER NOTIFIED that all proceedings in this case will be held pursuant to the Commission’s jurisdiction under Title 61 of the </w:t>
      </w:r>
      <w:r>
        <w:rPr>
          <w:color w:val="000000"/>
          <w:rFonts w:ascii="Times New Roman  (TT)" w:hAnsi="Times New Roman  (TT)"/>
          <w:sz w:val="24"/>
        </w:rPr>
        <w:t xml:space="preserve">Idaho Code</w:t>
      </w:r>
      <w:r>
        <w:rPr>
          <w:color w:val="000000"/>
          <w:rFonts w:ascii="Times New Roman  (TT)" w:hAnsi="Times New Roman  (TT)"/>
          <w:sz w:val="24"/>
        </w:rPr>
        <w:t xml:space="preserve"> and that the Commission may enter any final Order consistent with its authority under Title 61.</w:t>
      </w:r>
      <w:r>
        <w:rPr/>
      </w:r>
    </w:p>
    <w:p>
      <w:r>
        <w:rPr>
          <w:color w:val="000000"/>
          <w:rFonts w:ascii="Times New Roman  (TT)" w:hAnsi="Times New Roman  (TT)"/>
          <w:sz w:val="24"/>
        </w:rPr>
        <w:t xml:space="preserve">YOU ARE FURTHER NOTIFIED that all proceedings in this matter will be conducted pursuant to the Commission’s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w:t>
      </w:r>
      <w:r>
        <w:rPr/>
      </w:r>
    </w:p>
    <w:p>
      <w:r>
        <w:rPr>
          <w:color w:val="000000"/>
          <w:rFonts w:ascii="Times New Roman  (TT)" w:hAnsi="Times New Roman  (TT)"/>
          <w:sz w:val="24"/>
        </w:rPr>
        <w:t xml:space="preserve">YOU ARE FURTHER NOTIFIED that persons desiring to present their views without parties’ rights of participation and cross examination are not required to intervene and may present their comments at hearing without prior notification to the Commission or to the parties.</w:t>
      </w:r>
      <w:r>
        <w:rPr/>
      </w:r>
    </w:p>
    <w:p>
      <w:r>
        <w:rPr>
          <w:color w:val="000000"/>
          <w:rFonts w:ascii="Times New Roman  (TT)" w:hAnsi="Times New Roman  (TT)"/>
          <w:sz w:val="24"/>
        </w:rPr>
        <w:t xml:space="preserve">YOU ARE FURTHER NOTIFIED that all hearings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334-0338  (TELEPHONE)</w:t>
      </w:r>
      <w:r>
        <w:rPr/>
      </w:r>
    </w:p>
    <w:p>
      <w:r>
        <w:rPr>
          <w:color w:val="000000"/>
          <w:rFonts w:ascii="Times New Roman  (TT)" w:hAnsi="Times New Roman  (TT)"/>
          <w:sz w:val="24"/>
        </w:rPr>
        <w:t xml:space="preserve">(208) 334-3151  (TEXT TELEPHONE)</w:t>
      </w:r>
      <w:r>
        <w:rPr/>
      </w:r>
    </w:p>
    <w:p>
      <w:r>
        <w:rPr/>
      </w:r>
    </w:p>
    <w:p>
      <w:r>
        <w:rPr/>
      </w:r>
    </w:p>
    <w:p>
      <w:r>
        <w:rPr>
          <w:color w:val="000000"/>
          <w:rFonts w:ascii="Times New Roman  (TT)" w:hAnsi="Times New Roman  (TT)"/>
          <w:sz w:val="24"/>
        </w:rPr>
        <w:t xml:space="preserve">DATED at Boise, Idaho this              day of September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TT)" w:hAnsi="Times New Roman  (TT)"/>
          <w:sz w:val="16"/>
        </w:rPr>
        <w:t xml:space="preserve">VLD\N-CAP-W-95-1.SW2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